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46956941"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w:t>
      </w:r>
      <w:r w:rsidR="00B25EDF">
        <w:rPr>
          <w:rFonts w:ascii="Arial" w:hAnsi="Arial"/>
          <w:b/>
          <w:bCs/>
          <w:sz w:val="24"/>
          <w:szCs w:val="24"/>
          <w:lang w:val="en-GB"/>
        </w:rPr>
        <w:t>2</w:t>
      </w:r>
      <w:r w:rsidR="222FD3EE" w:rsidRPr="003307C0">
        <w:rPr>
          <w:rFonts w:ascii="Arial" w:hAnsi="Arial"/>
          <w:b/>
          <w:bCs/>
          <w:sz w:val="24"/>
          <w:szCs w:val="24"/>
          <w:lang w:val="en-GB"/>
        </w:rPr>
        <w:t xml:space="preserve">                                                               </w:t>
      </w:r>
      <w:r w:rsidR="00B25EDF">
        <w:rPr>
          <w:rFonts w:ascii="Arial" w:hAnsi="Arial"/>
          <w:b/>
          <w:bCs/>
          <w:sz w:val="24"/>
          <w:szCs w:val="24"/>
          <w:lang w:val="en-GB"/>
        </w:rPr>
        <w:tab/>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23</w:t>
      </w:r>
      <w:r w:rsidR="00B25EDF">
        <w:rPr>
          <w:rFonts w:ascii="Arial" w:hAnsi="Arial"/>
          <w:b/>
          <w:bCs/>
          <w:noProof/>
          <w:sz w:val="28"/>
          <w:szCs w:val="28"/>
          <w:lang w:val="en-GB"/>
        </w:rPr>
        <w:t>3099</w:t>
      </w:r>
    </w:p>
    <w:p w14:paraId="0C6D38F5" w14:textId="7241BC08" w:rsidR="00A51A2C" w:rsidRPr="003307C0" w:rsidRDefault="00B25EDF" w:rsidP="00A51A2C">
      <w:pPr>
        <w:widowControl w:val="0"/>
        <w:tabs>
          <w:tab w:val="right" w:pos="9639"/>
        </w:tabs>
        <w:spacing w:after="0"/>
        <w:rPr>
          <w:rFonts w:ascii="Arial" w:hAnsi="Arial"/>
          <w:b/>
          <w:noProof/>
          <w:sz w:val="24"/>
          <w:lang w:val="en-GB"/>
        </w:rPr>
      </w:pPr>
      <w:r>
        <w:rPr>
          <w:rFonts w:ascii="Arial" w:hAnsi="Arial"/>
          <w:b/>
          <w:noProof/>
          <w:sz w:val="24"/>
          <w:lang w:val="en-GB"/>
        </w:rPr>
        <w:t>Edinburgh, UK</w:t>
      </w:r>
      <w:r w:rsidR="00426BBD" w:rsidRPr="003307C0">
        <w:rPr>
          <w:rFonts w:ascii="Arial" w:hAnsi="Arial"/>
          <w:b/>
          <w:noProof/>
          <w:sz w:val="24"/>
          <w:lang w:val="en-GB"/>
        </w:rPr>
        <w:t xml:space="preserve">,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Pr>
          <w:rFonts w:ascii="Arial" w:hAnsi="Arial"/>
          <w:b/>
          <w:noProof/>
          <w:sz w:val="24"/>
          <w:lang w:val="en-GB"/>
        </w:rPr>
        <w:t>Dec</w:t>
      </w:r>
      <w:r w:rsidR="00426BBD" w:rsidRPr="003307C0">
        <w:rPr>
          <w:rFonts w:ascii="Arial" w:hAnsi="Arial"/>
          <w:b/>
          <w:noProof/>
          <w:sz w:val="24"/>
          <w:lang w:val="en-GB"/>
        </w:rPr>
        <w: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4E0EDBE8"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B25EDF">
        <w:rPr>
          <w:rFonts w:ascii="Times New Roman" w:hAnsi="Times New Roman"/>
          <w:bCs/>
          <w:sz w:val="24"/>
        </w:rPr>
        <w:t>9.1.1.7</w:t>
      </w:r>
    </w:p>
    <w:p w14:paraId="4125608B" w14:textId="4690B38A"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6C31B7" w:rsidRPr="003307C0">
        <w:rPr>
          <w:rFonts w:ascii="Times New Roman" w:hAnsi="Times New Roman" w:cs="Times New Roman"/>
          <w:bCs/>
          <w:sz w:val="24"/>
          <w:lang w:val="en-GB"/>
        </w:rPr>
        <w:t>Nokia</w:t>
      </w:r>
    </w:p>
    <w:p w14:paraId="3193B325" w14:textId="11A02B9A"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bookmarkStart w:id="0" w:name="_Hlk145508576"/>
      <w:r w:rsidR="00B25EDF" w:rsidRPr="00B25EDF">
        <w:rPr>
          <w:rFonts w:ascii="Times New Roman" w:hAnsi="Times New Roman" w:cs="Times New Roman"/>
          <w:bCs/>
          <w:sz w:val="24"/>
          <w:lang w:val="en-GB"/>
        </w:rPr>
        <w:t>Moderator's summary on new SI Study on Integrated sensing and communication (ISAC) for NR</w:t>
      </w:r>
      <w:bookmarkEnd w:id="0"/>
      <w:r w:rsidR="00715D65">
        <w:rPr>
          <w:rFonts w:ascii="Times New Roman" w:hAnsi="Times New Roman" w:cs="Times New Roman"/>
          <w:bCs/>
          <w:sz w:val="24"/>
          <w:lang w:val="en-GB" w:eastAsia="zh-CN"/>
        </w:rPr>
        <w:t xml:space="preserve"> </w:t>
      </w:r>
    </w:p>
    <w:p w14:paraId="52292485" w14:textId="1014A86A"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B25EDF">
        <w:rPr>
          <w:rFonts w:ascii="Times New Roman" w:hAnsi="Times New Roman" w:cs="Times New Roman"/>
          <w:bCs/>
          <w:sz w:val="24"/>
          <w:lang w:val="en-GB"/>
        </w:rPr>
        <w:t>Discussion</w:t>
      </w:r>
    </w:p>
    <w:p w14:paraId="56BD8E74" w14:textId="0456ED07" w:rsidR="00525758" w:rsidRDefault="00525758" w:rsidP="00226707">
      <w:pPr>
        <w:pStyle w:val="Heading1"/>
        <w:numPr>
          <w:ilvl w:val="0"/>
          <w:numId w:val="11"/>
        </w:numPr>
        <w:rPr>
          <w:rFonts w:cs="Arial"/>
        </w:rPr>
      </w:pPr>
      <w:bookmarkStart w:id="1" w:name="Proposal_Pattern_Length"/>
      <w:r w:rsidRPr="00226707">
        <w:rPr>
          <w:rFonts w:cs="Arial"/>
        </w:rPr>
        <w:t>General</w:t>
      </w:r>
    </w:p>
    <w:p w14:paraId="18A21017" w14:textId="0ECECD4B" w:rsidR="00A56FC1" w:rsidRDefault="00B25EDF" w:rsidP="00B25EDF">
      <w:pPr>
        <w:rPr>
          <w:lang w:val="en-GB" w:eastAsia="zh-CN"/>
        </w:rPr>
      </w:pPr>
      <w:r>
        <w:rPr>
          <w:lang w:val="en-GB" w:eastAsia="zh-CN"/>
        </w:rPr>
        <w:t>Following the outcome of RAN#101</w:t>
      </w:r>
      <w:r w:rsidR="00F22BFC">
        <w:rPr>
          <w:lang w:val="en-GB" w:eastAsia="zh-CN"/>
        </w:rPr>
        <w:t xml:space="preserve"> in [1] </w:t>
      </w:r>
      <w:r>
        <w:rPr>
          <w:lang w:val="en-GB" w:eastAsia="zh-CN"/>
        </w:rPr>
        <w:t>and the RAN Chair’s summary for RAN#102 in [2], this document summarises the general view of the contributions at RAN#102 for this agenda item, with a view to further developing the draft SID provided in [3].</w:t>
      </w:r>
    </w:p>
    <w:p w14:paraId="773BE062" w14:textId="3BA97258" w:rsidR="00581BA9" w:rsidRPr="00B25EDF" w:rsidRDefault="00581BA9" w:rsidP="00581BA9">
      <w:pPr>
        <w:rPr>
          <w:lang w:val="en-GB" w:eastAsia="zh-CN"/>
        </w:rPr>
      </w:pPr>
      <w:r>
        <w:rPr>
          <w:lang w:val="en-GB" w:eastAsia="zh-CN"/>
        </w:rPr>
        <w:t>In particular, it is stated in [2]: “</w:t>
      </w:r>
      <w:r w:rsidRPr="00581BA9">
        <w:rPr>
          <w:i/>
          <w:iCs/>
          <w:lang w:val="en-GB" w:eastAsia="zh-CN"/>
        </w:rPr>
        <w:t>RAN to select a small number of ISAC use cases from TR22.837, and to identify appropriate corresponding information needed for the point below, i.e. scenarios, frequency ranges and sensing modes. Also consider the ongoing SA1 TS22.137</w:t>
      </w:r>
      <w:r>
        <w:rPr>
          <w:lang w:val="en-GB" w:eastAsia="zh-CN"/>
        </w:rPr>
        <w:t>”</w:t>
      </w:r>
      <w:r w:rsidR="003D0056">
        <w:rPr>
          <w:lang w:val="en-GB" w:eastAsia="zh-CN"/>
        </w:rPr>
        <w:t xml:space="preserve">. Considering this, and the contributions already submitted to RAN#102, it seems unnecessary to initiate a RAN-led SI in order to </w:t>
      </w:r>
      <w:r w:rsidR="005B3A18">
        <w:rPr>
          <w:lang w:val="en-GB" w:eastAsia="zh-CN"/>
        </w:rPr>
        <w:t xml:space="preserve">accomplish the selection of use cases, scenarios, frequency ranges and sensing modes. These aspects can simply be discussed in RAN and </w:t>
      </w:r>
      <w:r w:rsidR="00971B6F">
        <w:rPr>
          <w:lang w:val="en-GB" w:eastAsia="zh-CN"/>
        </w:rPr>
        <w:t xml:space="preserve">the RAN1-led SID agreed accordingly. </w:t>
      </w:r>
    </w:p>
    <w:p w14:paraId="4590DDC7" w14:textId="499919FE" w:rsidR="00581BA9" w:rsidRDefault="00D15263" w:rsidP="00D15263">
      <w:pPr>
        <w:rPr>
          <w:lang w:val="en-GB" w:eastAsia="zh-CN"/>
        </w:rPr>
      </w:pPr>
      <w:r>
        <w:rPr>
          <w:lang w:val="en-GB" w:eastAsia="zh-CN"/>
        </w:rPr>
        <w:t>The relevant contributions are [</w:t>
      </w:r>
      <w:r w:rsidR="00B25EDF">
        <w:rPr>
          <w:lang w:val="en-GB" w:eastAsia="zh-CN"/>
        </w:rPr>
        <w:t>4</w:t>
      </w:r>
      <w:r>
        <w:rPr>
          <w:lang w:val="en-GB" w:eastAsia="zh-CN"/>
        </w:rPr>
        <w:t>]-[3</w:t>
      </w:r>
      <w:r w:rsidR="00ED10CC">
        <w:rPr>
          <w:lang w:val="en-GB" w:eastAsia="zh-CN"/>
        </w:rPr>
        <w:t>1</w:t>
      </w:r>
      <w:r>
        <w:rPr>
          <w:lang w:val="en-GB" w:eastAsia="zh-CN"/>
        </w:rPr>
        <w:t>].</w:t>
      </w:r>
    </w:p>
    <w:p w14:paraId="0A82B35C" w14:textId="77777777" w:rsidR="004D5BCF" w:rsidRPr="00D15263" w:rsidRDefault="004D5BCF" w:rsidP="00D15263">
      <w:pPr>
        <w:rPr>
          <w:lang w:val="en-GB" w:eastAsia="zh-CN"/>
        </w:rPr>
      </w:pPr>
    </w:p>
    <w:p w14:paraId="410EE337" w14:textId="163BC5EC" w:rsidR="00525758" w:rsidRDefault="00525758" w:rsidP="00226707">
      <w:pPr>
        <w:pStyle w:val="Heading1"/>
        <w:numPr>
          <w:ilvl w:val="0"/>
          <w:numId w:val="11"/>
        </w:numPr>
        <w:rPr>
          <w:rFonts w:cs="Arial"/>
        </w:rPr>
      </w:pPr>
      <w:r w:rsidRPr="00525758">
        <w:rPr>
          <w:rFonts w:cs="Arial"/>
        </w:rPr>
        <w:t xml:space="preserve">Potential </w:t>
      </w:r>
      <w:r w:rsidR="00971B6F">
        <w:rPr>
          <w:rFonts w:cs="Arial"/>
        </w:rPr>
        <w:t>Use Cases</w:t>
      </w:r>
      <w:r w:rsidRPr="00525758">
        <w:rPr>
          <w:rFonts w:cs="Arial"/>
        </w:rPr>
        <w:t xml:space="preserve"> </w:t>
      </w:r>
      <w:r w:rsidR="00971B6F">
        <w:rPr>
          <w:rFonts w:cs="Arial"/>
        </w:rPr>
        <w:t>b</w:t>
      </w:r>
      <w:r w:rsidRPr="00525758">
        <w:rPr>
          <w:rFonts w:cs="Arial"/>
        </w:rPr>
        <w:t>ased on Submitted Contributions</w:t>
      </w:r>
    </w:p>
    <w:p w14:paraId="56E6C513" w14:textId="77777777" w:rsidR="00473911" w:rsidRDefault="002D6B71" w:rsidP="00D87F45">
      <w:pPr>
        <w:spacing w:after="0"/>
        <w:rPr>
          <w:lang w:val="en-GB" w:eastAsia="zh-CN"/>
        </w:rPr>
      </w:pPr>
      <w:r>
        <w:rPr>
          <w:lang w:val="en-GB" w:eastAsia="zh-CN"/>
        </w:rPr>
        <w:t>The SA1 TS 22.137 categorizes the many use cases from TR</w:t>
      </w:r>
      <w:r w:rsidR="00473911">
        <w:rPr>
          <w:lang w:val="en-GB" w:eastAsia="zh-CN"/>
        </w:rPr>
        <w:t xml:space="preserve">22.837 into three broad categories: </w:t>
      </w:r>
    </w:p>
    <w:p w14:paraId="5630B481" w14:textId="2268A11C" w:rsidR="00D954FE" w:rsidRDefault="00D954FE" w:rsidP="00D954FE">
      <w:pPr>
        <w:pStyle w:val="ListParagraph"/>
        <w:numPr>
          <w:ilvl w:val="0"/>
          <w:numId w:val="36"/>
        </w:numPr>
        <w:spacing w:after="0"/>
        <w:rPr>
          <w:lang w:val="en-GB" w:eastAsia="zh-CN"/>
        </w:rPr>
      </w:pPr>
      <w:r>
        <w:rPr>
          <w:lang w:val="en-GB" w:eastAsia="zh-CN"/>
        </w:rPr>
        <w:t>Object detection and tracking</w:t>
      </w:r>
    </w:p>
    <w:p w14:paraId="562D41C0" w14:textId="32964B47" w:rsidR="00D954FE" w:rsidRDefault="00D954FE" w:rsidP="00D954FE">
      <w:pPr>
        <w:pStyle w:val="ListParagraph"/>
        <w:numPr>
          <w:ilvl w:val="0"/>
          <w:numId w:val="36"/>
        </w:numPr>
        <w:spacing w:after="0"/>
        <w:rPr>
          <w:lang w:val="en-GB" w:eastAsia="zh-CN"/>
        </w:rPr>
      </w:pPr>
      <w:r>
        <w:rPr>
          <w:lang w:val="en-GB" w:eastAsia="zh-CN"/>
        </w:rPr>
        <w:t>Environment monitoring</w:t>
      </w:r>
    </w:p>
    <w:p w14:paraId="0F7C1CF8" w14:textId="2344A4A5" w:rsidR="00D954FE" w:rsidRDefault="00D954FE" w:rsidP="00D954FE">
      <w:pPr>
        <w:pStyle w:val="ListParagraph"/>
        <w:numPr>
          <w:ilvl w:val="0"/>
          <w:numId w:val="36"/>
        </w:numPr>
        <w:spacing w:after="0"/>
        <w:rPr>
          <w:lang w:val="en-GB" w:eastAsia="zh-CN"/>
        </w:rPr>
      </w:pPr>
      <w:r>
        <w:rPr>
          <w:lang w:val="en-GB" w:eastAsia="zh-CN"/>
        </w:rPr>
        <w:t>Motion monitoring.</w:t>
      </w:r>
    </w:p>
    <w:p w14:paraId="439C4C59" w14:textId="359FE8C6" w:rsidR="00D954FE" w:rsidRDefault="00DF7219" w:rsidP="00D954FE">
      <w:pPr>
        <w:spacing w:after="0"/>
        <w:rPr>
          <w:lang w:val="en-GB" w:eastAsia="zh-CN"/>
        </w:rPr>
      </w:pPr>
      <w:r>
        <w:rPr>
          <w:lang w:val="en-GB" w:eastAsia="zh-CN"/>
        </w:rPr>
        <w:t xml:space="preserve">All companies </w:t>
      </w:r>
      <w:r w:rsidR="007D47A3">
        <w:rPr>
          <w:lang w:val="en-GB" w:eastAsia="zh-CN"/>
        </w:rPr>
        <w:t>expressing a preference focus on the “object detection and tracking” category</w:t>
      </w:r>
      <w:r w:rsidR="00495A1B">
        <w:rPr>
          <w:lang w:val="en-GB" w:eastAsia="zh-CN"/>
        </w:rPr>
        <w:t xml:space="preserve">, with some companies highlighting additional difficulty of the monitoring categories. </w:t>
      </w:r>
    </w:p>
    <w:p w14:paraId="7D1C7CD5" w14:textId="77777777" w:rsidR="00892C52" w:rsidRDefault="00892C52" w:rsidP="00D954FE">
      <w:pPr>
        <w:spacing w:after="0"/>
        <w:rPr>
          <w:lang w:val="en-GB" w:eastAsia="zh-CN"/>
        </w:rPr>
      </w:pPr>
    </w:p>
    <w:p w14:paraId="3D523A17" w14:textId="325D3AC1" w:rsidR="00892C52" w:rsidRDefault="00892C52" w:rsidP="00D954FE">
      <w:pPr>
        <w:spacing w:after="0"/>
        <w:rPr>
          <w:lang w:val="en-GB" w:eastAsia="zh-CN"/>
        </w:rPr>
      </w:pPr>
      <w:r>
        <w:rPr>
          <w:lang w:val="en-GB" w:eastAsia="zh-CN"/>
        </w:rPr>
        <w:t>This category is very broad. It encompasses UAV detection/tracking, as already identified at RAN#101, but it also covers a wide range of other kinds of object to be detected</w:t>
      </w:r>
      <w:r w:rsidR="00A55CEE">
        <w:rPr>
          <w:lang w:val="en-GB" w:eastAsia="zh-CN"/>
        </w:rPr>
        <w:t xml:space="preserve">, as well as both indoor and outdoor environments. </w:t>
      </w:r>
      <w:r w:rsidR="00F561EB">
        <w:rPr>
          <w:lang w:val="en-GB" w:eastAsia="zh-CN"/>
        </w:rPr>
        <w:t xml:space="preserve">It is necessary to narrow down the intended scenarios in order to bring a reasonable scope to the RAN1 </w:t>
      </w:r>
      <w:r w:rsidR="00EA42C9">
        <w:rPr>
          <w:lang w:val="en-GB" w:eastAsia="zh-CN"/>
        </w:rPr>
        <w:t xml:space="preserve">SI. </w:t>
      </w:r>
    </w:p>
    <w:p w14:paraId="0514C222" w14:textId="77777777" w:rsidR="00B02243" w:rsidRDefault="00B02243" w:rsidP="00D954FE">
      <w:pPr>
        <w:spacing w:after="0"/>
        <w:rPr>
          <w:lang w:val="en-GB" w:eastAsia="zh-CN"/>
        </w:rPr>
      </w:pPr>
    </w:p>
    <w:p w14:paraId="23C18263" w14:textId="3824B437" w:rsidR="00B02243" w:rsidRDefault="00B02243" w:rsidP="00D954FE">
      <w:pPr>
        <w:spacing w:after="0"/>
        <w:rPr>
          <w:lang w:val="en-GB" w:eastAsia="zh-CN"/>
        </w:rPr>
      </w:pPr>
      <w:r>
        <w:rPr>
          <w:lang w:val="en-GB" w:eastAsia="zh-CN"/>
        </w:rPr>
        <w:t xml:space="preserve">In addition to UAVs, </w:t>
      </w:r>
      <w:r w:rsidR="0095588E">
        <w:rPr>
          <w:lang w:val="en-GB" w:eastAsia="zh-CN"/>
        </w:rPr>
        <w:t xml:space="preserve">the most commonly </w:t>
      </w:r>
      <w:r w:rsidR="00F678B5">
        <w:rPr>
          <w:lang w:val="en-GB" w:eastAsia="zh-CN"/>
        </w:rPr>
        <w:t xml:space="preserve">cited use cases include: </w:t>
      </w:r>
    </w:p>
    <w:p w14:paraId="1A2022D1" w14:textId="24E0FAB0" w:rsidR="002618AD" w:rsidRDefault="002618AD" w:rsidP="00BE457D">
      <w:pPr>
        <w:pStyle w:val="ListParagraph"/>
        <w:numPr>
          <w:ilvl w:val="0"/>
          <w:numId w:val="37"/>
        </w:numPr>
        <w:spacing w:after="0"/>
        <w:rPr>
          <w:lang w:val="en-GB" w:eastAsia="zh-CN"/>
        </w:rPr>
      </w:pPr>
      <w:bookmarkStart w:id="2" w:name="_Hlk153153521"/>
      <w:r>
        <w:rPr>
          <w:lang w:val="en-GB" w:eastAsia="zh-CN"/>
        </w:rPr>
        <w:t>Indoor detection of humans (and in some cases animals)</w:t>
      </w:r>
    </w:p>
    <w:p w14:paraId="5C9B3409" w14:textId="621EE7A2" w:rsidR="00BE457D" w:rsidRDefault="00BE457D" w:rsidP="00BE457D">
      <w:pPr>
        <w:pStyle w:val="ListParagraph"/>
        <w:numPr>
          <w:ilvl w:val="0"/>
          <w:numId w:val="37"/>
        </w:numPr>
        <w:spacing w:after="0"/>
        <w:rPr>
          <w:lang w:val="en-GB" w:eastAsia="zh-CN"/>
        </w:rPr>
      </w:pPr>
      <w:r>
        <w:rPr>
          <w:lang w:val="en-GB" w:eastAsia="zh-CN"/>
        </w:rPr>
        <w:t>Outdoor automotive cases</w:t>
      </w:r>
    </w:p>
    <w:p w14:paraId="7E1BBCD4" w14:textId="0B35DBA2" w:rsidR="00BE457D" w:rsidRDefault="00BE457D" w:rsidP="00A52F0C">
      <w:pPr>
        <w:pStyle w:val="ListParagraph"/>
        <w:numPr>
          <w:ilvl w:val="0"/>
          <w:numId w:val="37"/>
        </w:numPr>
        <w:spacing w:after="0"/>
        <w:rPr>
          <w:lang w:val="en-GB" w:eastAsia="zh-CN"/>
        </w:rPr>
      </w:pPr>
      <w:r>
        <w:rPr>
          <w:lang w:val="en-GB" w:eastAsia="zh-CN"/>
        </w:rPr>
        <w:t>Automated guided vehicles (e.g. in indoor factories)</w:t>
      </w:r>
    </w:p>
    <w:p w14:paraId="67A803B0" w14:textId="1B30DC89" w:rsidR="00A52F0C" w:rsidRPr="00A52F0C" w:rsidRDefault="00A52F0C" w:rsidP="00A52F0C">
      <w:pPr>
        <w:pStyle w:val="ListParagraph"/>
        <w:numPr>
          <w:ilvl w:val="0"/>
          <w:numId w:val="37"/>
        </w:numPr>
        <w:spacing w:after="0"/>
        <w:rPr>
          <w:lang w:val="en-GB" w:eastAsia="zh-CN"/>
        </w:rPr>
      </w:pPr>
      <w:r>
        <w:rPr>
          <w:lang w:val="en-GB" w:eastAsia="zh-CN"/>
        </w:rPr>
        <w:t>Unspecified objects on railways</w:t>
      </w:r>
    </w:p>
    <w:bookmarkEnd w:id="2"/>
    <w:p w14:paraId="350EBDA3" w14:textId="77777777" w:rsidR="004D5BCF" w:rsidRDefault="004D5BCF" w:rsidP="00D954FE">
      <w:pPr>
        <w:spacing w:after="0"/>
        <w:rPr>
          <w:lang w:val="en-GB" w:eastAsia="zh-CN"/>
        </w:rPr>
      </w:pPr>
    </w:p>
    <w:p w14:paraId="0CC66031" w14:textId="77777777" w:rsidR="004D5BCF" w:rsidRDefault="004D5BCF" w:rsidP="00D954FE">
      <w:pPr>
        <w:spacing w:after="0"/>
        <w:rPr>
          <w:lang w:val="en-GB" w:eastAsia="zh-CN"/>
        </w:rPr>
      </w:pPr>
    </w:p>
    <w:p w14:paraId="3CCB3CB9" w14:textId="2BECE05C" w:rsidR="00C851AC" w:rsidRDefault="0090688B" w:rsidP="00C851AC">
      <w:pPr>
        <w:pStyle w:val="Heading1"/>
        <w:numPr>
          <w:ilvl w:val="0"/>
          <w:numId w:val="11"/>
        </w:numPr>
        <w:rPr>
          <w:rFonts w:cs="Arial"/>
        </w:rPr>
      </w:pPr>
      <w:r>
        <w:rPr>
          <w:rFonts w:cs="Arial"/>
        </w:rPr>
        <w:t>Sensing modes</w:t>
      </w:r>
    </w:p>
    <w:p w14:paraId="2C433993" w14:textId="54EF0379" w:rsidR="008A51E8" w:rsidRDefault="001636A3" w:rsidP="003B6A01">
      <w:pPr>
        <w:rPr>
          <w:lang w:val="en-GB" w:eastAsia="zh-CN"/>
        </w:rPr>
      </w:pPr>
      <w:r>
        <w:rPr>
          <w:lang w:val="en-GB" w:eastAsia="zh-CN"/>
        </w:rPr>
        <w:t xml:space="preserve">Several companies suggest including all six sensing modes </w:t>
      </w:r>
      <w:r w:rsidR="00A34605">
        <w:rPr>
          <w:lang w:val="en-GB" w:eastAsia="zh-CN"/>
        </w:rPr>
        <w:t xml:space="preserve">(gNB monostatic, UE monostatic, gNB-gNB bistatic, UE-UE bistatic, gNB-UE bistatic, UE-gNB bistatic). </w:t>
      </w:r>
    </w:p>
    <w:p w14:paraId="23A49CDA" w14:textId="24E498CC" w:rsidR="00D73559" w:rsidRDefault="00D73559" w:rsidP="003B6A01">
      <w:pPr>
        <w:rPr>
          <w:lang w:val="en-GB" w:eastAsia="zh-CN"/>
        </w:rPr>
      </w:pPr>
      <w:r>
        <w:rPr>
          <w:lang w:val="en-GB" w:eastAsia="zh-CN"/>
        </w:rPr>
        <w:t xml:space="preserve">However, others focus primarily on bistatic cases, especially gNB&lt;-&gt;UE bistatic and gNB-gNB bistatic. </w:t>
      </w:r>
    </w:p>
    <w:p w14:paraId="0AA16B99" w14:textId="146905EE" w:rsidR="00D73559" w:rsidRPr="003B6A01" w:rsidRDefault="00F26FD0" w:rsidP="003B6A01">
      <w:pPr>
        <w:rPr>
          <w:lang w:val="en-GB" w:eastAsia="zh-CN"/>
        </w:rPr>
      </w:pPr>
      <w:r>
        <w:rPr>
          <w:lang w:val="en-GB" w:eastAsia="zh-CN"/>
        </w:rPr>
        <w:t>It should be discussed whether the study can focus on only a subset of the six sensing modes</w:t>
      </w:r>
      <w:r w:rsidR="00231B8E">
        <w:rPr>
          <w:lang w:val="en-GB" w:eastAsia="zh-CN"/>
        </w:rPr>
        <w:t>.</w:t>
      </w:r>
    </w:p>
    <w:p w14:paraId="632436FC" w14:textId="77777777" w:rsidR="003E0AA9" w:rsidRDefault="003E0AA9" w:rsidP="003E0AA9">
      <w:pPr>
        <w:pStyle w:val="ListParagraph"/>
        <w:rPr>
          <w:lang w:val="en-GB" w:eastAsia="zh-CN"/>
        </w:rPr>
      </w:pPr>
    </w:p>
    <w:p w14:paraId="646948FF" w14:textId="77777777" w:rsidR="0090688B" w:rsidRDefault="0090688B" w:rsidP="003E0AA9">
      <w:pPr>
        <w:pStyle w:val="ListParagraph"/>
        <w:rPr>
          <w:lang w:val="en-GB" w:eastAsia="zh-CN"/>
        </w:rPr>
      </w:pPr>
    </w:p>
    <w:p w14:paraId="4F009519" w14:textId="5EEF74C5" w:rsidR="0090688B" w:rsidRDefault="0090688B" w:rsidP="0090688B">
      <w:pPr>
        <w:pStyle w:val="Heading1"/>
        <w:numPr>
          <w:ilvl w:val="0"/>
          <w:numId w:val="11"/>
        </w:numPr>
        <w:rPr>
          <w:rFonts w:cs="Arial"/>
        </w:rPr>
      </w:pPr>
      <w:r>
        <w:rPr>
          <w:rFonts w:cs="Arial"/>
        </w:rPr>
        <w:t>Frequencies</w:t>
      </w:r>
    </w:p>
    <w:p w14:paraId="5B4D6170" w14:textId="29706312" w:rsidR="0090688B" w:rsidRDefault="008B5F07" w:rsidP="0090688B">
      <w:pPr>
        <w:rPr>
          <w:lang w:val="en-GB" w:eastAsia="zh-CN"/>
        </w:rPr>
      </w:pPr>
      <w:r>
        <w:rPr>
          <w:lang w:val="en-GB" w:eastAsia="zh-CN"/>
        </w:rPr>
        <w:t xml:space="preserve">The greatest interest for sensing is clearly in FR1 and FR2-1, but there does not seem to be any significant reason to exclude any parts of the full frequency range (0.5-100 GHz) covered by TR 38.901. </w:t>
      </w:r>
    </w:p>
    <w:p w14:paraId="7770D3EC" w14:textId="161F2103" w:rsidR="00231B8E" w:rsidRPr="0090688B" w:rsidRDefault="006021A7" w:rsidP="0090688B">
      <w:pPr>
        <w:rPr>
          <w:lang w:val="en-GB" w:eastAsia="zh-CN"/>
        </w:rPr>
      </w:pPr>
      <w:r>
        <w:rPr>
          <w:lang w:val="en-GB" w:eastAsia="zh-CN"/>
        </w:rPr>
        <w:t>It could be discussed whether f</w:t>
      </w:r>
      <w:r w:rsidR="0042458B">
        <w:rPr>
          <w:lang w:val="en-GB" w:eastAsia="zh-CN"/>
        </w:rPr>
        <w:t xml:space="preserve">requencies from 0.5 to 52.6 GHz could be the primary focus, with </w:t>
      </w:r>
      <w:r>
        <w:rPr>
          <w:lang w:val="en-GB" w:eastAsia="zh-CN"/>
        </w:rPr>
        <w:t xml:space="preserve">the assumption that </w:t>
      </w:r>
      <w:r w:rsidR="006B09E8">
        <w:rPr>
          <w:lang w:val="en-GB" w:eastAsia="zh-CN"/>
        </w:rPr>
        <w:t xml:space="preserve">a </w:t>
      </w:r>
      <w:r>
        <w:rPr>
          <w:lang w:val="en-GB" w:eastAsia="zh-CN"/>
        </w:rPr>
        <w:t xml:space="preserve">similar </w:t>
      </w:r>
      <w:r w:rsidR="006B09E8">
        <w:rPr>
          <w:lang w:val="en-GB" w:eastAsia="zh-CN"/>
        </w:rPr>
        <w:t>modelling approach</w:t>
      </w:r>
      <w:r>
        <w:rPr>
          <w:lang w:val="en-GB" w:eastAsia="zh-CN"/>
        </w:rPr>
        <w:t xml:space="preserve"> should scale to 100GHz. </w:t>
      </w:r>
    </w:p>
    <w:p w14:paraId="0BADBFF1" w14:textId="77777777" w:rsidR="0090688B" w:rsidRPr="003E0AA9" w:rsidRDefault="0090688B" w:rsidP="003E0AA9">
      <w:pPr>
        <w:pStyle w:val="ListParagraph"/>
        <w:rPr>
          <w:lang w:val="en-GB" w:eastAsia="zh-CN"/>
        </w:rPr>
      </w:pPr>
    </w:p>
    <w:p w14:paraId="732F7E1C" w14:textId="5F6ED95A" w:rsidR="00525758" w:rsidRDefault="00525758" w:rsidP="00226707">
      <w:pPr>
        <w:pStyle w:val="Heading1"/>
        <w:numPr>
          <w:ilvl w:val="0"/>
          <w:numId w:val="11"/>
        </w:numPr>
        <w:rPr>
          <w:rFonts w:cs="Arial"/>
        </w:rPr>
      </w:pPr>
      <w:r w:rsidRPr="00525758">
        <w:rPr>
          <w:rFonts w:cs="Arial"/>
        </w:rPr>
        <w:t>Summary</w:t>
      </w:r>
    </w:p>
    <w:p w14:paraId="491D9462" w14:textId="7BC57651" w:rsidR="004D0DFF" w:rsidRDefault="006021A7" w:rsidP="006021A7">
      <w:pPr>
        <w:rPr>
          <w:lang w:val="en-GB" w:eastAsia="zh-CN"/>
        </w:rPr>
      </w:pPr>
      <w:r>
        <w:rPr>
          <w:lang w:val="en-GB" w:eastAsia="zh-CN"/>
        </w:rPr>
        <w:t xml:space="preserve">The RAN-led SID on ISAC can be agreed in RAN directly, without the need for a RAN-level study. </w:t>
      </w:r>
    </w:p>
    <w:p w14:paraId="6B19C3DD" w14:textId="10D77A60" w:rsidR="00CD0CEE" w:rsidRDefault="00CD0CEE" w:rsidP="006021A7">
      <w:pPr>
        <w:rPr>
          <w:lang w:val="en-GB" w:eastAsia="zh-CN"/>
        </w:rPr>
      </w:pPr>
      <w:r>
        <w:rPr>
          <w:lang w:val="en-GB" w:eastAsia="zh-CN"/>
        </w:rPr>
        <w:t xml:space="preserve">The following points should be discussed and decided: </w:t>
      </w:r>
    </w:p>
    <w:p w14:paraId="4D2879DC" w14:textId="6487A576" w:rsidR="00CD0CEE" w:rsidRDefault="00CD0CEE" w:rsidP="00CD0CEE">
      <w:pPr>
        <w:pStyle w:val="ListParagraph"/>
        <w:numPr>
          <w:ilvl w:val="0"/>
          <w:numId w:val="38"/>
        </w:numPr>
        <w:rPr>
          <w:lang w:val="en-GB" w:eastAsia="zh-CN"/>
        </w:rPr>
      </w:pPr>
      <w:r>
        <w:rPr>
          <w:lang w:val="en-GB" w:eastAsia="zh-CN"/>
        </w:rPr>
        <w:t xml:space="preserve">Whether “object detection and tracking” can be the focus of the </w:t>
      </w:r>
      <w:r w:rsidR="00E91EA8">
        <w:rPr>
          <w:lang w:val="en-GB" w:eastAsia="zh-CN"/>
        </w:rPr>
        <w:t xml:space="preserve">SI, excluding environment and motion monitoring. </w:t>
      </w:r>
    </w:p>
    <w:p w14:paraId="623B1F64" w14:textId="77777777" w:rsidR="007E1921" w:rsidRDefault="007E1921" w:rsidP="007E1921">
      <w:pPr>
        <w:pStyle w:val="ListParagraph"/>
        <w:rPr>
          <w:lang w:val="en-GB" w:eastAsia="zh-CN"/>
        </w:rPr>
      </w:pPr>
    </w:p>
    <w:p w14:paraId="1119FE01" w14:textId="791C783E" w:rsidR="007E1921" w:rsidRDefault="007E1921" w:rsidP="007E1921">
      <w:pPr>
        <w:pStyle w:val="ListParagraph"/>
        <w:numPr>
          <w:ilvl w:val="0"/>
          <w:numId w:val="38"/>
        </w:numPr>
        <w:rPr>
          <w:lang w:val="en-GB" w:eastAsia="zh-CN"/>
        </w:rPr>
      </w:pPr>
      <w:r>
        <w:rPr>
          <w:lang w:val="en-GB" w:eastAsia="zh-CN"/>
        </w:rPr>
        <w:t xml:space="preserve">Within “object detection and tracking”, which of the following (and/or others) should be included explicitly: </w:t>
      </w:r>
    </w:p>
    <w:p w14:paraId="73EF18EE" w14:textId="77777777" w:rsidR="007E1921" w:rsidRPr="007E1921" w:rsidRDefault="007E1921" w:rsidP="007E1921">
      <w:pPr>
        <w:pStyle w:val="ListParagraph"/>
        <w:rPr>
          <w:lang w:val="en-GB" w:eastAsia="zh-CN"/>
        </w:rPr>
      </w:pPr>
    </w:p>
    <w:p w14:paraId="0807A801" w14:textId="77777777" w:rsidR="007E1921" w:rsidRDefault="007E1921" w:rsidP="007E1921">
      <w:pPr>
        <w:pStyle w:val="ListParagraph"/>
        <w:numPr>
          <w:ilvl w:val="1"/>
          <w:numId w:val="38"/>
        </w:numPr>
        <w:rPr>
          <w:lang w:val="en-GB" w:eastAsia="zh-CN"/>
        </w:rPr>
      </w:pPr>
      <w:r>
        <w:rPr>
          <w:lang w:val="en-GB" w:eastAsia="zh-CN"/>
        </w:rPr>
        <w:t>UAV detection and tracking</w:t>
      </w:r>
    </w:p>
    <w:p w14:paraId="4137E935" w14:textId="788456ED" w:rsidR="007E1921" w:rsidRPr="007E1921" w:rsidRDefault="007E1921" w:rsidP="007E1921">
      <w:pPr>
        <w:pStyle w:val="ListParagraph"/>
        <w:numPr>
          <w:ilvl w:val="1"/>
          <w:numId w:val="38"/>
        </w:numPr>
        <w:rPr>
          <w:lang w:val="en-GB" w:eastAsia="zh-CN"/>
        </w:rPr>
      </w:pPr>
      <w:r w:rsidRPr="007E1921">
        <w:rPr>
          <w:lang w:val="en-GB" w:eastAsia="zh-CN"/>
        </w:rPr>
        <w:t>Indoor detection of humans (and in some cases animals)</w:t>
      </w:r>
    </w:p>
    <w:p w14:paraId="18FA6DC6" w14:textId="77777777" w:rsidR="007E1921" w:rsidRPr="007E1921" w:rsidRDefault="007E1921" w:rsidP="007E1921">
      <w:pPr>
        <w:pStyle w:val="ListParagraph"/>
        <w:numPr>
          <w:ilvl w:val="1"/>
          <w:numId w:val="38"/>
        </w:numPr>
        <w:rPr>
          <w:lang w:val="en-GB" w:eastAsia="zh-CN"/>
        </w:rPr>
      </w:pPr>
      <w:r w:rsidRPr="007E1921">
        <w:rPr>
          <w:lang w:val="en-GB" w:eastAsia="zh-CN"/>
        </w:rPr>
        <w:t>Outdoor automotive cases</w:t>
      </w:r>
    </w:p>
    <w:p w14:paraId="5A51FE66" w14:textId="77777777" w:rsidR="007E1921" w:rsidRPr="007E1921" w:rsidRDefault="007E1921" w:rsidP="007E1921">
      <w:pPr>
        <w:pStyle w:val="ListParagraph"/>
        <w:numPr>
          <w:ilvl w:val="1"/>
          <w:numId w:val="38"/>
        </w:numPr>
        <w:rPr>
          <w:lang w:val="en-GB" w:eastAsia="zh-CN"/>
        </w:rPr>
      </w:pPr>
      <w:r w:rsidRPr="007E1921">
        <w:rPr>
          <w:lang w:val="en-GB" w:eastAsia="zh-CN"/>
        </w:rPr>
        <w:t>Automated guided vehicles (e.g. in indoor factories)</w:t>
      </w:r>
    </w:p>
    <w:p w14:paraId="1699751C" w14:textId="77777777" w:rsidR="007E1921" w:rsidRDefault="007E1921" w:rsidP="007E1921">
      <w:pPr>
        <w:pStyle w:val="ListParagraph"/>
        <w:numPr>
          <w:ilvl w:val="1"/>
          <w:numId w:val="38"/>
        </w:numPr>
        <w:rPr>
          <w:lang w:val="en-GB" w:eastAsia="zh-CN"/>
        </w:rPr>
      </w:pPr>
      <w:r w:rsidRPr="007E1921">
        <w:rPr>
          <w:lang w:val="en-GB" w:eastAsia="zh-CN"/>
        </w:rPr>
        <w:t>Unspecified objects on railways</w:t>
      </w:r>
    </w:p>
    <w:p w14:paraId="70471182" w14:textId="77777777" w:rsidR="009F723B" w:rsidRPr="007E1921" w:rsidRDefault="009F723B" w:rsidP="009F723B">
      <w:pPr>
        <w:pStyle w:val="ListParagraph"/>
        <w:ind w:left="1440"/>
        <w:rPr>
          <w:lang w:val="en-GB" w:eastAsia="zh-CN"/>
        </w:rPr>
      </w:pPr>
    </w:p>
    <w:p w14:paraId="0FD6411C" w14:textId="65665363" w:rsidR="00926157" w:rsidRDefault="009F723B" w:rsidP="00926157">
      <w:pPr>
        <w:pStyle w:val="ListParagraph"/>
        <w:numPr>
          <w:ilvl w:val="0"/>
          <w:numId w:val="38"/>
        </w:numPr>
        <w:rPr>
          <w:lang w:val="en-GB" w:eastAsia="zh-CN"/>
        </w:rPr>
      </w:pPr>
      <w:r>
        <w:rPr>
          <w:lang w:val="en-GB" w:eastAsia="zh-CN"/>
        </w:rPr>
        <w:t>Whether the set of six possible sensing modes can be narrowed down for the purpose of the RAN1-led SI</w:t>
      </w:r>
      <w:r w:rsidR="00926157">
        <w:rPr>
          <w:lang w:val="en-GB" w:eastAsia="zh-CN"/>
        </w:rPr>
        <w:t>.</w:t>
      </w:r>
    </w:p>
    <w:p w14:paraId="274AFD91" w14:textId="77777777" w:rsidR="00926157" w:rsidRPr="00926157" w:rsidRDefault="00926157" w:rsidP="00926157">
      <w:pPr>
        <w:pStyle w:val="ListParagraph"/>
        <w:rPr>
          <w:lang w:val="en-GB" w:eastAsia="zh-CN"/>
        </w:rPr>
      </w:pPr>
    </w:p>
    <w:p w14:paraId="2B41F609" w14:textId="32B2DC5D" w:rsidR="006021A7" w:rsidRPr="00926157" w:rsidRDefault="00926157" w:rsidP="007B59DA">
      <w:pPr>
        <w:pStyle w:val="ListParagraph"/>
        <w:numPr>
          <w:ilvl w:val="0"/>
          <w:numId w:val="38"/>
        </w:numPr>
        <w:rPr>
          <w:lang w:val="en-GB" w:eastAsia="zh-CN"/>
        </w:rPr>
      </w:pPr>
      <w:r w:rsidRPr="00926157">
        <w:rPr>
          <w:lang w:val="en-GB" w:eastAsia="zh-CN"/>
        </w:rPr>
        <w:t xml:space="preserve">Whether frequencies from 0.5 to 52.6 GHz could be the primary focus, with the assumption that </w:t>
      </w:r>
      <w:r w:rsidR="006B09E8">
        <w:rPr>
          <w:lang w:val="en-GB" w:eastAsia="zh-CN"/>
        </w:rPr>
        <w:t xml:space="preserve">a </w:t>
      </w:r>
      <w:r w:rsidRPr="00926157">
        <w:rPr>
          <w:lang w:val="en-GB" w:eastAsia="zh-CN"/>
        </w:rPr>
        <w:t xml:space="preserve">similar </w:t>
      </w:r>
      <w:r w:rsidR="006B09E8">
        <w:rPr>
          <w:lang w:val="en-GB" w:eastAsia="zh-CN"/>
        </w:rPr>
        <w:t>modelling approach</w:t>
      </w:r>
      <w:r w:rsidRPr="00926157">
        <w:rPr>
          <w:lang w:val="en-GB" w:eastAsia="zh-CN"/>
        </w:rPr>
        <w:t xml:space="preserve"> should scale to 100GHz.</w:t>
      </w:r>
    </w:p>
    <w:p w14:paraId="3ABB78CE" w14:textId="77777777" w:rsidR="006021A7" w:rsidRPr="006021A7" w:rsidRDefault="006021A7" w:rsidP="006021A7">
      <w:pPr>
        <w:rPr>
          <w:lang w:val="en-GB" w:eastAsia="zh-CN"/>
        </w:rPr>
      </w:pP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1"/>
    <w:p w14:paraId="0E782EDE" w14:textId="42560C39" w:rsidR="00926157" w:rsidRDefault="00F22BFC" w:rsidP="009D5385">
      <w:pPr>
        <w:pStyle w:val="ListParagraph"/>
        <w:numPr>
          <w:ilvl w:val="0"/>
          <w:numId w:val="25"/>
        </w:numPr>
        <w:spacing w:after="0"/>
        <w:rPr>
          <w:lang w:val="en-GB" w:eastAsia="zh-CN"/>
        </w:rPr>
      </w:pPr>
      <w:r>
        <w:rPr>
          <w:lang w:val="en-GB" w:eastAsia="zh-CN"/>
        </w:rPr>
        <w:t>RP-23</w:t>
      </w:r>
      <w:r w:rsidR="00926157">
        <w:rPr>
          <w:lang w:val="en-GB" w:eastAsia="zh-CN"/>
        </w:rPr>
        <w:t>2617</w:t>
      </w:r>
      <w:r w:rsidR="0037003A">
        <w:rPr>
          <w:lang w:val="en-GB" w:eastAsia="zh-CN"/>
        </w:rPr>
        <w:tab/>
      </w:r>
      <w:r w:rsidR="0037003A" w:rsidRPr="0037003A">
        <w:rPr>
          <w:lang w:val="en-GB" w:eastAsia="zh-CN"/>
        </w:rPr>
        <w:t>Moderator's summary for REL-19 RAN1 topic ISAC &amp; Exploring Study in New Spectrum (7-24GHz)</w:t>
      </w:r>
      <w:r w:rsidR="0037003A">
        <w:rPr>
          <w:lang w:val="en-GB" w:eastAsia="zh-CN"/>
        </w:rPr>
        <w:tab/>
        <w:t>Nokia</w:t>
      </w:r>
    </w:p>
    <w:p w14:paraId="362BD032" w14:textId="28407E72" w:rsidR="00926157" w:rsidRDefault="003A1613" w:rsidP="009D5385">
      <w:pPr>
        <w:pStyle w:val="ListParagraph"/>
        <w:numPr>
          <w:ilvl w:val="0"/>
          <w:numId w:val="25"/>
        </w:numPr>
        <w:spacing w:after="0"/>
        <w:rPr>
          <w:lang w:val="en-GB" w:eastAsia="zh-CN"/>
        </w:rPr>
      </w:pPr>
      <w:r w:rsidRPr="003A1613">
        <w:rPr>
          <w:lang w:val="en-GB" w:eastAsia="zh-CN"/>
        </w:rPr>
        <w:t>RP-232745</w:t>
      </w:r>
      <w:r w:rsidRPr="003A1613">
        <w:rPr>
          <w:lang w:val="en-GB" w:eastAsia="zh-CN"/>
        </w:rPr>
        <w:tab/>
        <w:t>Summary for RAN Rel-19 Package: RAN1/2/3-led</w:t>
      </w:r>
      <w:r w:rsidRPr="003A1613">
        <w:rPr>
          <w:lang w:val="en-GB" w:eastAsia="zh-CN"/>
        </w:rPr>
        <w:tab/>
        <w:t>RAN chair (Qualcomm)</w:t>
      </w:r>
    </w:p>
    <w:p w14:paraId="0501CFE9" w14:textId="6C6D77B0" w:rsidR="003A35FA" w:rsidRDefault="002476DC" w:rsidP="009D5385">
      <w:pPr>
        <w:pStyle w:val="ListParagraph"/>
        <w:numPr>
          <w:ilvl w:val="0"/>
          <w:numId w:val="25"/>
        </w:numPr>
        <w:spacing w:after="0"/>
        <w:rPr>
          <w:lang w:val="en-GB" w:eastAsia="en-GB"/>
        </w:rPr>
      </w:pPr>
      <w:r w:rsidRPr="002476DC">
        <w:rPr>
          <w:lang w:val="en-GB" w:eastAsia="en-GB"/>
        </w:rPr>
        <w:t>RP-233100</w:t>
      </w:r>
      <w:r w:rsidRPr="002476DC">
        <w:rPr>
          <w:lang w:val="en-GB" w:eastAsia="en-GB"/>
        </w:rPr>
        <w:tab/>
        <w:t>New SID: Study on Integrated sensing and communication (ISAC) for NR</w:t>
      </w:r>
      <w:r w:rsidRPr="002476DC">
        <w:rPr>
          <w:lang w:val="en-GB" w:eastAsia="en-GB"/>
        </w:rPr>
        <w:tab/>
        <w:t>Nokia (moderator)</w:t>
      </w:r>
    </w:p>
    <w:p w14:paraId="42AF019A"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RP-232751</w:t>
      </w:r>
      <w:r w:rsidRPr="002476DC">
        <w:rPr>
          <w:lang w:val="en-GB" w:eastAsia="en-GB"/>
        </w:rPr>
        <w:tab/>
        <w:t>On ISAC</w:t>
      </w:r>
      <w:r w:rsidRPr="002476DC">
        <w:rPr>
          <w:lang w:val="en-GB" w:eastAsia="en-GB"/>
        </w:rPr>
        <w:tab/>
        <w:t>Ericsson</w:t>
      </w:r>
    </w:p>
    <w:p w14:paraId="4EDD46BD"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RP-232756</w:t>
      </w:r>
      <w:r w:rsidRPr="002476DC">
        <w:rPr>
          <w:lang w:val="en-GB" w:eastAsia="en-GB"/>
        </w:rPr>
        <w:tab/>
        <w:t>Rel-19 Study on ISAC</w:t>
      </w:r>
      <w:r w:rsidRPr="002476DC">
        <w:rPr>
          <w:lang w:val="en-GB" w:eastAsia="en-GB"/>
        </w:rPr>
        <w:tab/>
        <w:t>Lekha Wireless Solutions</w:t>
      </w:r>
    </w:p>
    <w:p w14:paraId="19EF99AD"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RP-232764</w:t>
      </w:r>
      <w:r w:rsidRPr="002476DC">
        <w:rPr>
          <w:lang w:val="en-GB" w:eastAsia="en-GB"/>
        </w:rPr>
        <w:tab/>
        <w:t>Consideration on Rel-19 Channel Modeling of ISAC</w:t>
      </w:r>
      <w:r w:rsidRPr="002476DC">
        <w:rPr>
          <w:lang w:val="en-GB" w:eastAsia="en-GB"/>
        </w:rPr>
        <w:tab/>
        <w:t>New H3C Technologies Co., Ltd.</w:t>
      </w:r>
    </w:p>
    <w:p w14:paraId="17E75399"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RP-232872</w:t>
      </w:r>
      <w:r w:rsidRPr="002476DC">
        <w:rPr>
          <w:lang w:val="en-GB" w:eastAsia="en-GB"/>
        </w:rPr>
        <w:tab/>
        <w:t>Views on ISAC study in Rel-19</w:t>
      </w:r>
      <w:r w:rsidRPr="002476DC">
        <w:rPr>
          <w:lang w:val="en-GB" w:eastAsia="en-GB"/>
        </w:rPr>
        <w:tab/>
        <w:t>NEC</w:t>
      </w:r>
    </w:p>
    <w:p w14:paraId="207ECE94"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RP-232905</w:t>
      </w:r>
      <w:r w:rsidRPr="002476DC">
        <w:rPr>
          <w:lang w:val="en-GB" w:eastAsia="en-GB"/>
        </w:rPr>
        <w:tab/>
        <w:t>Discussion on channel modelling for ISAC in Rel-19</w:t>
      </w:r>
      <w:r w:rsidRPr="002476DC">
        <w:rPr>
          <w:lang w:val="en-GB" w:eastAsia="en-GB"/>
        </w:rPr>
        <w:tab/>
        <w:t>OPPO</w:t>
      </w:r>
    </w:p>
    <w:p w14:paraId="3BC7CDDF"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RP-232980</w:t>
      </w:r>
      <w:r w:rsidRPr="002476DC">
        <w:rPr>
          <w:lang w:val="en-GB" w:eastAsia="en-GB"/>
        </w:rPr>
        <w:tab/>
        <w:t>Channel modeling for ISAC in Rel-19</w:t>
      </w:r>
      <w:r w:rsidRPr="002476DC">
        <w:rPr>
          <w:lang w:val="en-GB" w:eastAsia="en-GB"/>
        </w:rPr>
        <w:tab/>
        <w:t>Spreadtrum Communications</w:t>
      </w:r>
    </w:p>
    <w:p w14:paraId="7B31B023"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RP-233017</w:t>
      </w:r>
      <w:r w:rsidRPr="002476DC">
        <w:rPr>
          <w:lang w:val="en-GB" w:eastAsia="en-GB"/>
        </w:rPr>
        <w:tab/>
        <w:t>Consideration on study for ISAC</w:t>
      </w:r>
      <w:r w:rsidRPr="002476DC">
        <w:rPr>
          <w:lang w:val="en-GB" w:eastAsia="en-GB"/>
        </w:rPr>
        <w:tab/>
        <w:t>CATT</w:t>
      </w:r>
    </w:p>
    <w:p w14:paraId="3C3F1D89"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RP-233047</w:t>
      </w:r>
      <w:r w:rsidRPr="002476DC">
        <w:rPr>
          <w:lang w:val="en-GB" w:eastAsia="en-GB"/>
        </w:rPr>
        <w:tab/>
        <w:t>Considerations on Rel-19 ISAC</w:t>
      </w:r>
      <w:r w:rsidRPr="002476DC">
        <w:rPr>
          <w:lang w:val="en-GB" w:eastAsia="en-GB"/>
        </w:rPr>
        <w:tab/>
        <w:t>Ruijie Network Co. Ltd</w:t>
      </w:r>
    </w:p>
    <w:p w14:paraId="5C5CDD1F"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RP-233054</w:t>
      </w:r>
      <w:r w:rsidRPr="002476DC">
        <w:rPr>
          <w:lang w:val="en-GB" w:eastAsia="en-GB"/>
        </w:rPr>
        <w:tab/>
        <w:t>Views on Rel-19 channel modeling for ISAC</w:t>
      </w:r>
      <w:r w:rsidRPr="002476DC">
        <w:rPr>
          <w:lang w:val="en-GB" w:eastAsia="en-GB"/>
        </w:rPr>
        <w:tab/>
        <w:t>vivo</w:t>
      </w:r>
    </w:p>
    <w:p w14:paraId="719BCB9F"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RP-233082</w:t>
      </w:r>
      <w:r w:rsidRPr="002476DC">
        <w:rPr>
          <w:lang w:val="en-GB" w:eastAsia="en-GB"/>
        </w:rPr>
        <w:tab/>
        <w:t>Study on channel models with ray tracing for integrated sensing and communication (ISAC)</w:t>
      </w:r>
      <w:r w:rsidRPr="002476DC">
        <w:rPr>
          <w:lang w:val="en-GB" w:eastAsia="en-GB"/>
        </w:rPr>
        <w:tab/>
        <w:t>NVIDIA</w:t>
      </w:r>
    </w:p>
    <w:p w14:paraId="03000D84"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RP-233157</w:t>
      </w:r>
      <w:r w:rsidRPr="002476DC">
        <w:rPr>
          <w:lang w:val="en-GB" w:eastAsia="en-GB"/>
        </w:rPr>
        <w:tab/>
        <w:t>Proposals on channel modeling for ISAC in Rel-19</w:t>
      </w:r>
      <w:r w:rsidRPr="002476DC">
        <w:rPr>
          <w:lang w:val="en-GB" w:eastAsia="en-GB"/>
        </w:rPr>
        <w:tab/>
        <w:t>LG Electronics</w:t>
      </w:r>
    </w:p>
    <w:p w14:paraId="341321A9"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RP-233271</w:t>
      </w:r>
      <w:r w:rsidRPr="002476DC">
        <w:rPr>
          <w:lang w:val="en-GB" w:eastAsia="en-GB"/>
        </w:rPr>
        <w:tab/>
        <w:t>Rel-19 ISAC: Scope</w:t>
      </w:r>
      <w:r w:rsidRPr="002476DC">
        <w:rPr>
          <w:lang w:val="en-GB" w:eastAsia="en-GB"/>
        </w:rPr>
        <w:tab/>
        <w:t>MediaTek Inc.</w:t>
      </w:r>
    </w:p>
    <w:p w14:paraId="5CFF2208"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RP-233286</w:t>
      </w:r>
      <w:r w:rsidRPr="002476DC">
        <w:rPr>
          <w:lang w:val="en-GB" w:eastAsia="en-GB"/>
        </w:rPr>
        <w:tab/>
        <w:t>Discussion of possible scope of SI on channel modelling for ISAC</w:t>
      </w:r>
      <w:r w:rsidRPr="002476DC">
        <w:rPr>
          <w:lang w:val="en-GB" w:eastAsia="en-GB"/>
        </w:rPr>
        <w:tab/>
        <w:t>Nokia, Nokia Shanghai Bell</w:t>
      </w:r>
    </w:p>
    <w:p w14:paraId="42C966A2"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RP-233295</w:t>
      </w:r>
      <w:r w:rsidRPr="002476DC">
        <w:rPr>
          <w:lang w:val="en-GB" w:eastAsia="en-GB"/>
        </w:rPr>
        <w:tab/>
        <w:t>Scope of Integrated Sensing and Communications (ISAC) in Rel-19</w:t>
      </w:r>
      <w:r w:rsidRPr="002476DC">
        <w:rPr>
          <w:lang w:val="en-GB" w:eastAsia="en-GB"/>
        </w:rPr>
        <w:tab/>
        <w:t>Robert Bosch GmbH</w:t>
      </w:r>
    </w:p>
    <w:p w14:paraId="34E72D11"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RP-233326</w:t>
      </w:r>
      <w:r w:rsidRPr="002476DC">
        <w:rPr>
          <w:lang w:val="en-GB" w:eastAsia="en-GB"/>
        </w:rPr>
        <w:tab/>
        <w:t>Discussion on Rel-19 Channel Modeling for ISAC</w:t>
      </w:r>
      <w:r w:rsidRPr="002476DC">
        <w:rPr>
          <w:lang w:val="en-GB" w:eastAsia="en-GB"/>
        </w:rPr>
        <w:tab/>
        <w:t>Intel Corporation</w:t>
      </w:r>
    </w:p>
    <w:p w14:paraId="23B8C815"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RP-233381</w:t>
      </w:r>
      <w:r w:rsidRPr="002476DC">
        <w:rPr>
          <w:lang w:val="en-GB" w:eastAsia="en-GB"/>
        </w:rPr>
        <w:tab/>
        <w:t>Views on ISAC studies in Rel-19</w:t>
      </w:r>
      <w:r w:rsidRPr="002476DC">
        <w:rPr>
          <w:lang w:val="en-GB" w:eastAsia="en-GB"/>
        </w:rPr>
        <w:tab/>
        <w:t>Qualcomm Incorporated</w:t>
      </w:r>
    </w:p>
    <w:p w14:paraId="02E09E7B"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RP-233384</w:t>
      </w:r>
      <w:r w:rsidRPr="002476DC">
        <w:rPr>
          <w:lang w:val="en-GB" w:eastAsia="en-GB"/>
        </w:rPr>
        <w:tab/>
        <w:t>Views on Integrated Sensing and Communications for Rel-19</w:t>
      </w:r>
      <w:r w:rsidRPr="002476DC">
        <w:rPr>
          <w:lang w:val="en-GB" w:eastAsia="en-GB"/>
        </w:rPr>
        <w:tab/>
        <w:t>Apple</w:t>
      </w:r>
    </w:p>
    <w:p w14:paraId="7E2C87C8"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RP-233401</w:t>
      </w:r>
      <w:r w:rsidRPr="002476DC">
        <w:rPr>
          <w:lang w:val="en-GB" w:eastAsia="en-GB"/>
        </w:rPr>
        <w:tab/>
        <w:t>Views on channel modelling for ISAC</w:t>
      </w:r>
      <w:r w:rsidRPr="002476DC">
        <w:rPr>
          <w:lang w:val="en-GB" w:eastAsia="en-GB"/>
        </w:rPr>
        <w:tab/>
        <w:t>InterDigital, Inc.</w:t>
      </w:r>
    </w:p>
    <w:p w14:paraId="0D61FF38"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RP-233423</w:t>
      </w:r>
      <w:r w:rsidRPr="002476DC">
        <w:rPr>
          <w:lang w:val="en-GB" w:eastAsia="en-GB"/>
        </w:rPr>
        <w:tab/>
        <w:t>Views on Rel-19 study on integrated sensing and communication (ISAC)</w:t>
      </w:r>
      <w:r w:rsidRPr="002476DC">
        <w:rPr>
          <w:lang w:val="en-GB" w:eastAsia="en-GB"/>
        </w:rPr>
        <w:tab/>
        <w:t>CMCC</w:t>
      </w:r>
    </w:p>
    <w:p w14:paraId="302BD3AF"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RP-233472</w:t>
      </w:r>
      <w:r w:rsidRPr="002476DC">
        <w:rPr>
          <w:lang w:val="en-GB" w:eastAsia="en-GB"/>
        </w:rPr>
        <w:tab/>
        <w:t>Scope on ISAC channel model</w:t>
      </w:r>
      <w:r w:rsidRPr="002476DC">
        <w:rPr>
          <w:lang w:val="en-GB" w:eastAsia="en-GB"/>
        </w:rPr>
        <w:tab/>
        <w:t>Samsung</w:t>
      </w:r>
    </w:p>
    <w:p w14:paraId="1C64BEC3"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RP-233487</w:t>
      </w:r>
      <w:r w:rsidRPr="002476DC">
        <w:rPr>
          <w:lang w:val="en-GB" w:eastAsia="en-GB"/>
        </w:rPr>
        <w:tab/>
        <w:t>Use cases for ISAC channel modeling</w:t>
      </w:r>
      <w:r w:rsidRPr="002476DC">
        <w:rPr>
          <w:lang w:val="en-GB" w:eastAsia="en-GB"/>
        </w:rPr>
        <w:tab/>
        <w:t>Xiaomi, CAICT, China Unicom, Deutsche Telekom, Bell Mobility, TELUS, Spark NZ Ltd, ABS, Rakuten Mobile, LG Uplus, KT Corp., Reliance Jio, KPN, TCL, Inspur, Google, Nvidia, Denso, ITRI, Spreadtrum, Fraunhofer IIS, CEWiT, New H3C, ETRI, Meta, Toyota ITC, Sharp, Lenovo, UESTC, Rohde &amp; Schwarz</w:t>
      </w:r>
    </w:p>
    <w:p w14:paraId="5FF6FEAD"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RP-233506</w:t>
      </w:r>
      <w:r w:rsidRPr="002476DC">
        <w:rPr>
          <w:lang w:val="en-GB" w:eastAsia="en-GB"/>
        </w:rPr>
        <w:tab/>
        <w:t>Study on Integrated Sensing and Communications</w:t>
      </w:r>
      <w:r w:rsidRPr="002476DC">
        <w:rPr>
          <w:lang w:val="en-GB" w:eastAsia="en-GB"/>
        </w:rPr>
        <w:tab/>
        <w:t>CEWiT</w:t>
      </w:r>
    </w:p>
    <w:p w14:paraId="219529C3"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RP-233538</w:t>
      </w:r>
      <w:r w:rsidRPr="002476DC">
        <w:rPr>
          <w:lang w:val="en-GB" w:eastAsia="en-GB"/>
        </w:rPr>
        <w:tab/>
        <w:t>Study on channel model for ISAC</w:t>
      </w:r>
      <w:r w:rsidRPr="002476DC">
        <w:rPr>
          <w:lang w:val="en-GB" w:eastAsia="en-GB"/>
        </w:rPr>
        <w:tab/>
        <w:t>NTT DOCOMO, INC.</w:t>
      </w:r>
    </w:p>
    <w:p w14:paraId="726FDB6E"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RP-233574</w:t>
      </w:r>
      <w:r w:rsidRPr="002476DC">
        <w:rPr>
          <w:lang w:val="en-GB" w:eastAsia="en-GB"/>
        </w:rPr>
        <w:tab/>
        <w:t>Views on ISAC channel modeling and following work in Rel-19</w:t>
      </w:r>
      <w:r w:rsidRPr="002476DC">
        <w:rPr>
          <w:lang w:val="en-GB" w:eastAsia="en-GB"/>
        </w:rPr>
        <w:tab/>
        <w:t>China Telecom, Lenovo, H3C</w:t>
      </w:r>
    </w:p>
    <w:p w14:paraId="4841F0A3"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RP-233598</w:t>
      </w:r>
      <w:r w:rsidRPr="002476DC">
        <w:rPr>
          <w:lang w:val="en-GB" w:eastAsia="en-GB"/>
        </w:rPr>
        <w:tab/>
        <w:t>Consideration on the Additional Techniques of Integrating Sensing and Communication</w:t>
      </w:r>
      <w:r w:rsidRPr="002476DC">
        <w:rPr>
          <w:lang w:val="en-GB" w:eastAsia="en-GB"/>
        </w:rPr>
        <w:tab/>
        <w:t>China Unicom</w:t>
      </w:r>
    </w:p>
    <w:p w14:paraId="24B989CA"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RP-233614</w:t>
      </w:r>
      <w:r w:rsidRPr="002476DC">
        <w:rPr>
          <w:lang w:val="en-GB" w:eastAsia="en-GB"/>
        </w:rPr>
        <w:tab/>
        <w:t>Views on ISAC channel modeling in Rel-19</w:t>
      </w:r>
      <w:r w:rsidRPr="002476DC">
        <w:rPr>
          <w:lang w:val="en-GB" w:eastAsia="en-GB"/>
        </w:rPr>
        <w:tab/>
        <w:t>ZTE, Sanechips</w:t>
      </w:r>
    </w:p>
    <w:p w14:paraId="7CE7C56C" w14:textId="77777777" w:rsidR="002476DC" w:rsidRPr="002476DC" w:rsidRDefault="002476DC" w:rsidP="002476DC">
      <w:pPr>
        <w:pStyle w:val="ListParagraph"/>
        <w:numPr>
          <w:ilvl w:val="0"/>
          <w:numId w:val="25"/>
        </w:numPr>
        <w:spacing w:after="0"/>
        <w:rPr>
          <w:lang w:val="en-GB" w:eastAsia="en-GB"/>
        </w:rPr>
      </w:pPr>
      <w:r w:rsidRPr="002476DC">
        <w:rPr>
          <w:lang w:val="en-GB" w:eastAsia="en-GB"/>
        </w:rPr>
        <w:t>RP-233663</w:t>
      </w:r>
      <w:r w:rsidRPr="002476DC">
        <w:rPr>
          <w:lang w:val="en-GB" w:eastAsia="en-GB"/>
        </w:rPr>
        <w:tab/>
        <w:t>Integrated Sensing and Communications in Rel-19</w:t>
      </w:r>
      <w:r w:rsidRPr="002476DC">
        <w:rPr>
          <w:lang w:val="en-GB" w:eastAsia="en-GB"/>
        </w:rPr>
        <w:tab/>
        <w:t>Huawei, HiSilicon, CAICT</w:t>
      </w:r>
    </w:p>
    <w:p w14:paraId="086B5413" w14:textId="628DC588" w:rsidR="002476DC" w:rsidRPr="009D5385" w:rsidRDefault="002476DC" w:rsidP="002476DC">
      <w:pPr>
        <w:pStyle w:val="ListParagraph"/>
        <w:numPr>
          <w:ilvl w:val="0"/>
          <w:numId w:val="25"/>
        </w:numPr>
        <w:spacing w:after="0"/>
        <w:rPr>
          <w:lang w:val="en-GB" w:eastAsia="en-GB"/>
        </w:rPr>
      </w:pPr>
      <w:r w:rsidRPr="002476DC">
        <w:rPr>
          <w:lang w:val="en-GB" w:eastAsia="en-GB"/>
        </w:rPr>
        <w:t>RP-233862</w:t>
      </w:r>
      <w:r w:rsidRPr="002476DC">
        <w:rPr>
          <w:lang w:val="en-GB" w:eastAsia="en-GB"/>
        </w:rPr>
        <w:tab/>
        <w:t>Views on Rel-19 ISAC Study Item(s)</w:t>
      </w:r>
      <w:r w:rsidRPr="002476DC">
        <w:rPr>
          <w:lang w:val="en-GB" w:eastAsia="en-GB"/>
        </w:rPr>
        <w:tab/>
        <w:t>AT&amp;T, FirstNet</w:t>
      </w:r>
    </w:p>
    <w:sectPr w:rsidR="002476DC" w:rsidRPr="009D5385"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B36E" w14:textId="77777777" w:rsidR="00234298" w:rsidRDefault="00234298" w:rsidP="008A375A">
      <w:pPr>
        <w:spacing w:after="0" w:line="240" w:lineRule="auto"/>
      </w:pPr>
      <w:r>
        <w:separator/>
      </w:r>
    </w:p>
  </w:endnote>
  <w:endnote w:type="continuationSeparator" w:id="0">
    <w:p w14:paraId="67161434" w14:textId="77777777" w:rsidR="00234298" w:rsidRDefault="00234298" w:rsidP="008A375A">
      <w:pPr>
        <w:spacing w:after="0" w:line="240" w:lineRule="auto"/>
      </w:pPr>
      <w:r>
        <w:continuationSeparator/>
      </w:r>
    </w:p>
  </w:endnote>
  <w:endnote w:type="continuationNotice" w:id="1">
    <w:p w14:paraId="2D44E6A6" w14:textId="77777777" w:rsidR="00234298" w:rsidRDefault="0023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0211" w14:textId="77777777" w:rsidR="00234298" w:rsidRDefault="00234298" w:rsidP="008A375A">
      <w:pPr>
        <w:spacing w:after="0" w:line="240" w:lineRule="auto"/>
      </w:pPr>
      <w:r>
        <w:separator/>
      </w:r>
    </w:p>
  </w:footnote>
  <w:footnote w:type="continuationSeparator" w:id="0">
    <w:p w14:paraId="3E2ABE82" w14:textId="77777777" w:rsidR="00234298" w:rsidRDefault="00234298" w:rsidP="008A375A">
      <w:pPr>
        <w:spacing w:after="0" w:line="240" w:lineRule="auto"/>
      </w:pPr>
      <w:r>
        <w:continuationSeparator/>
      </w:r>
    </w:p>
  </w:footnote>
  <w:footnote w:type="continuationNotice" w:id="1">
    <w:p w14:paraId="61D711A2" w14:textId="77777777" w:rsidR="00234298" w:rsidRDefault="00234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16678"/>
    <w:multiLevelType w:val="hybridMultilevel"/>
    <w:tmpl w:val="A07AD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4106C"/>
    <w:multiLevelType w:val="hybridMultilevel"/>
    <w:tmpl w:val="865C1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1328B5"/>
    <w:multiLevelType w:val="hybridMultilevel"/>
    <w:tmpl w:val="8E9EB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9"/>
  </w:num>
  <w:num w:numId="2" w16cid:durableId="1604000034">
    <w:abstractNumId w:val="14"/>
  </w:num>
  <w:num w:numId="3" w16cid:durableId="1554728005">
    <w:abstractNumId w:val="12"/>
  </w:num>
  <w:num w:numId="4" w16cid:durableId="2122914879">
    <w:abstractNumId w:val="20"/>
  </w:num>
  <w:num w:numId="5" w16cid:durableId="907572429">
    <w:abstractNumId w:val="27"/>
  </w:num>
  <w:num w:numId="6" w16cid:durableId="1084033582">
    <w:abstractNumId w:val="16"/>
  </w:num>
  <w:num w:numId="7" w16cid:durableId="615677275">
    <w:abstractNumId w:val="17"/>
  </w:num>
  <w:num w:numId="8" w16cid:durableId="519852681">
    <w:abstractNumId w:val="25"/>
  </w:num>
  <w:num w:numId="9" w16cid:durableId="793711705">
    <w:abstractNumId w:val="7"/>
  </w:num>
  <w:num w:numId="10" w16cid:durableId="1823308261">
    <w:abstractNumId w:val="18"/>
  </w:num>
  <w:num w:numId="11" w16cid:durableId="1524787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3"/>
  </w:num>
  <w:num w:numId="13" w16cid:durableId="822742455">
    <w:abstractNumId w:val="8"/>
  </w:num>
  <w:num w:numId="14" w16cid:durableId="1245534520">
    <w:abstractNumId w:val="26"/>
  </w:num>
  <w:num w:numId="15" w16cid:durableId="1756779880">
    <w:abstractNumId w:val="15"/>
  </w:num>
  <w:num w:numId="16" w16cid:durableId="1288201817">
    <w:abstractNumId w:val="5"/>
  </w:num>
  <w:num w:numId="17" w16cid:durableId="144472974">
    <w:abstractNumId w:val="24"/>
  </w:num>
  <w:num w:numId="18" w16cid:durableId="1790539765">
    <w:abstractNumId w:val="3"/>
  </w:num>
  <w:num w:numId="19" w16cid:durableId="1464735761">
    <w:abstractNumId w:val="9"/>
  </w:num>
  <w:num w:numId="20" w16cid:durableId="1100683202">
    <w:abstractNumId w:val="9"/>
  </w:num>
  <w:num w:numId="21" w16cid:durableId="1698045110">
    <w:abstractNumId w:val="2"/>
  </w:num>
  <w:num w:numId="22" w16cid:durableId="1319111317">
    <w:abstractNumId w:val="11"/>
  </w:num>
  <w:num w:numId="23" w16cid:durableId="1522283209">
    <w:abstractNumId w:val="9"/>
  </w:num>
  <w:num w:numId="24" w16cid:durableId="2135901268">
    <w:abstractNumId w:val="9"/>
  </w:num>
  <w:num w:numId="25" w16cid:durableId="80571958">
    <w:abstractNumId w:val="22"/>
  </w:num>
  <w:num w:numId="26" w16cid:durableId="840773729">
    <w:abstractNumId w:val="1"/>
  </w:num>
  <w:num w:numId="27" w16cid:durableId="1818646144">
    <w:abstractNumId w:val="0"/>
  </w:num>
  <w:num w:numId="28" w16cid:durableId="2094275074">
    <w:abstractNumId w:val="19"/>
  </w:num>
  <w:num w:numId="29" w16cid:durableId="1055079332">
    <w:abstractNumId w:val="13"/>
  </w:num>
  <w:num w:numId="30" w16cid:durableId="1308120693">
    <w:abstractNumId w:val="9"/>
  </w:num>
  <w:num w:numId="31" w16cid:durableId="294913666">
    <w:abstractNumId w:val="9"/>
  </w:num>
  <w:num w:numId="32" w16cid:durableId="1985623633">
    <w:abstractNumId w:val="9"/>
  </w:num>
  <w:num w:numId="33" w16cid:durableId="842663924">
    <w:abstractNumId w:val="9"/>
  </w:num>
  <w:num w:numId="34" w16cid:durableId="970207011">
    <w:abstractNumId w:val="9"/>
  </w:num>
  <w:num w:numId="35" w16cid:durableId="1964773565">
    <w:abstractNumId w:val="21"/>
  </w:num>
  <w:num w:numId="36" w16cid:durableId="1533225790">
    <w:abstractNumId w:val="6"/>
  </w:num>
  <w:num w:numId="37" w16cid:durableId="2049259760">
    <w:abstractNumId w:val="4"/>
  </w:num>
  <w:num w:numId="38" w16cid:durableId="2539051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408D6"/>
    <w:rsid w:val="00040A1C"/>
    <w:rsid w:val="000410D2"/>
    <w:rsid w:val="000412DF"/>
    <w:rsid w:val="00042645"/>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34A1"/>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B63"/>
    <w:rsid w:val="00092E25"/>
    <w:rsid w:val="000932C9"/>
    <w:rsid w:val="00093686"/>
    <w:rsid w:val="00093A07"/>
    <w:rsid w:val="00093EE0"/>
    <w:rsid w:val="00093F5E"/>
    <w:rsid w:val="00094086"/>
    <w:rsid w:val="0009409D"/>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F0A"/>
    <w:rsid w:val="000B0FFC"/>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5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564"/>
    <w:rsid w:val="001416B1"/>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6A3"/>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24"/>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1B8E"/>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6DC"/>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8AD"/>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B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E6E"/>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03A"/>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613"/>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0056"/>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58B"/>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911"/>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5A1B"/>
    <w:rsid w:val="004967E9"/>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BCF"/>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135"/>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BA9"/>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1659"/>
    <w:rsid w:val="005B268E"/>
    <w:rsid w:val="005B2AD5"/>
    <w:rsid w:val="005B2CC0"/>
    <w:rsid w:val="005B3687"/>
    <w:rsid w:val="005B3A18"/>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6FC"/>
    <w:rsid w:val="005C7D0E"/>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21A7"/>
    <w:rsid w:val="006033DE"/>
    <w:rsid w:val="006033F7"/>
    <w:rsid w:val="0060340E"/>
    <w:rsid w:val="0060444F"/>
    <w:rsid w:val="00604659"/>
    <w:rsid w:val="00605721"/>
    <w:rsid w:val="006057D4"/>
    <w:rsid w:val="00605D7B"/>
    <w:rsid w:val="00605FA7"/>
    <w:rsid w:val="006062F7"/>
    <w:rsid w:val="00607D6C"/>
    <w:rsid w:val="00610301"/>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6FCA"/>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5CBF"/>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B03"/>
    <w:rsid w:val="006A6C5E"/>
    <w:rsid w:val="006A73F7"/>
    <w:rsid w:val="006A7781"/>
    <w:rsid w:val="006A77F5"/>
    <w:rsid w:val="006A795F"/>
    <w:rsid w:val="006A7C7C"/>
    <w:rsid w:val="006B09E8"/>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60D"/>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60B"/>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EAC"/>
    <w:rsid w:val="007D47A3"/>
    <w:rsid w:val="007D5733"/>
    <w:rsid w:val="007D578D"/>
    <w:rsid w:val="007D6162"/>
    <w:rsid w:val="007D6A74"/>
    <w:rsid w:val="007D6BC7"/>
    <w:rsid w:val="007D71C3"/>
    <w:rsid w:val="007D7236"/>
    <w:rsid w:val="007D7D2B"/>
    <w:rsid w:val="007E0457"/>
    <w:rsid w:val="007E0772"/>
    <w:rsid w:val="007E14EF"/>
    <w:rsid w:val="007E1921"/>
    <w:rsid w:val="007E2D26"/>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18"/>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2C52"/>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4DB"/>
    <w:rsid w:val="008B5F07"/>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88B"/>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20AB6"/>
    <w:rsid w:val="00921215"/>
    <w:rsid w:val="0092186F"/>
    <w:rsid w:val="00921EAE"/>
    <w:rsid w:val="00922936"/>
    <w:rsid w:val="00922FEE"/>
    <w:rsid w:val="009231E5"/>
    <w:rsid w:val="009243DE"/>
    <w:rsid w:val="009252CF"/>
    <w:rsid w:val="0092575D"/>
    <w:rsid w:val="00926068"/>
    <w:rsid w:val="00926157"/>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4B6B"/>
    <w:rsid w:val="00945317"/>
    <w:rsid w:val="00945497"/>
    <w:rsid w:val="00945BFF"/>
    <w:rsid w:val="00946E00"/>
    <w:rsid w:val="00946EA3"/>
    <w:rsid w:val="00947396"/>
    <w:rsid w:val="009475CF"/>
    <w:rsid w:val="00950046"/>
    <w:rsid w:val="00950957"/>
    <w:rsid w:val="00950D33"/>
    <w:rsid w:val="0095183F"/>
    <w:rsid w:val="009519CC"/>
    <w:rsid w:val="00951E25"/>
    <w:rsid w:val="00953429"/>
    <w:rsid w:val="00954B7A"/>
    <w:rsid w:val="00954E79"/>
    <w:rsid w:val="0095588E"/>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B6F"/>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0D2E"/>
    <w:rsid w:val="009E2137"/>
    <w:rsid w:val="009E21A2"/>
    <w:rsid w:val="009E4423"/>
    <w:rsid w:val="009E45D6"/>
    <w:rsid w:val="009E4E00"/>
    <w:rsid w:val="009E5345"/>
    <w:rsid w:val="009E5534"/>
    <w:rsid w:val="009E5A84"/>
    <w:rsid w:val="009E5BB1"/>
    <w:rsid w:val="009E696C"/>
    <w:rsid w:val="009E6AD6"/>
    <w:rsid w:val="009E6E04"/>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23B"/>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605"/>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2F0C"/>
    <w:rsid w:val="00A53800"/>
    <w:rsid w:val="00A54959"/>
    <w:rsid w:val="00A54C40"/>
    <w:rsid w:val="00A54CD7"/>
    <w:rsid w:val="00A559B9"/>
    <w:rsid w:val="00A55CEE"/>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6B6"/>
    <w:rsid w:val="00A8797A"/>
    <w:rsid w:val="00A87FEB"/>
    <w:rsid w:val="00A90353"/>
    <w:rsid w:val="00A9255A"/>
    <w:rsid w:val="00A93A2D"/>
    <w:rsid w:val="00A93D91"/>
    <w:rsid w:val="00A93FFD"/>
    <w:rsid w:val="00A94558"/>
    <w:rsid w:val="00A948C3"/>
    <w:rsid w:val="00A95F79"/>
    <w:rsid w:val="00A9615E"/>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243"/>
    <w:rsid w:val="00B02690"/>
    <w:rsid w:val="00B0313E"/>
    <w:rsid w:val="00B032A7"/>
    <w:rsid w:val="00B03697"/>
    <w:rsid w:val="00B03EC0"/>
    <w:rsid w:val="00B04245"/>
    <w:rsid w:val="00B04A26"/>
    <w:rsid w:val="00B05516"/>
    <w:rsid w:val="00B07168"/>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5EDF"/>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0E4D"/>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929"/>
    <w:rsid w:val="00B834EE"/>
    <w:rsid w:val="00B842F8"/>
    <w:rsid w:val="00B8445F"/>
    <w:rsid w:val="00B8513B"/>
    <w:rsid w:val="00B856F1"/>
    <w:rsid w:val="00B863B3"/>
    <w:rsid w:val="00B864C1"/>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B7D8C"/>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526"/>
    <w:rsid w:val="00BD3E8B"/>
    <w:rsid w:val="00BD4C47"/>
    <w:rsid w:val="00BD4DCF"/>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57D"/>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07609"/>
    <w:rsid w:val="00C10904"/>
    <w:rsid w:val="00C11E74"/>
    <w:rsid w:val="00C11FC2"/>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CF"/>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1AC"/>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3FF2"/>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0CEE"/>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559"/>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4FE"/>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19"/>
    <w:rsid w:val="00DF725F"/>
    <w:rsid w:val="00DF726E"/>
    <w:rsid w:val="00DF7427"/>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47CC"/>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141"/>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1EA8"/>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2C9"/>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0CC"/>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BFC"/>
    <w:rsid w:val="00F22C77"/>
    <w:rsid w:val="00F2331E"/>
    <w:rsid w:val="00F23B3C"/>
    <w:rsid w:val="00F24CC9"/>
    <w:rsid w:val="00F258DE"/>
    <w:rsid w:val="00F259A3"/>
    <w:rsid w:val="00F25E2C"/>
    <w:rsid w:val="00F26F1A"/>
    <w:rsid w:val="00F26FD0"/>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1EB"/>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8B5"/>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3FDA"/>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5AIRPNAIUNRU-1916262822-2696</_dlc_DocId>
    <_dlc_DocIdUrl xmlns="71c5aaf6-e6ce-465b-b873-5148d2a4c105">
      <Url>https://nokia.sharepoint.com/sites/c5g/_layouts/15/DocIdRedir.aspx?ID=5AIRPNAIUNRU-1916262822-2696</Url>
      <Description>5AIRPNAIUNRU-1916262822-2696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511F-F675-4CD9-9518-86185774DD52}">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C6AD13BE-BE9C-4595-B4CB-7D36995CEC6E}">
  <ds:schemaRefs>
    <ds:schemaRef ds:uri="http://schemas.microsoft.com/sharepoint/v3/contenttype/forms"/>
  </ds:schemaRefs>
</ds:datastoreItem>
</file>

<file path=customXml/itemProps3.xml><?xml version="1.0" encoding="utf-8"?>
<ds:datastoreItem xmlns:ds="http://schemas.openxmlformats.org/officeDocument/2006/customXml" ds:itemID="{FDDBFDA5-6696-4600-A4EF-D0AF81CA492F}">
  <ds:schemaRefs>
    <ds:schemaRef ds:uri="Microsoft.SharePoint.Taxonomy.ContentTypeSync"/>
  </ds:schemaRefs>
</ds:datastoreItem>
</file>

<file path=customXml/itemProps4.xml><?xml version="1.0" encoding="utf-8"?>
<ds:datastoreItem xmlns:ds="http://schemas.openxmlformats.org/officeDocument/2006/customXml" ds:itemID="{4720C6C7-2833-42B3-B78D-6591385D2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FBDCE8-C73F-47E4-82BF-8322F035087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2023-09-13T13:40:00Z</dcterms:created>
  <dcterms:modified xsi:type="dcterms:W3CDTF">2023-12-11T09:09:00Z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MediaServiceImageTags">
    <vt:lpwstr/>
  </property>
  <property fmtid="{D5CDD505-2E9C-101B-9397-08002B2CF9AE}" pid="4" name="_dlc_DocIdItemGuid">
    <vt:lpwstr>d41c22d1-710e-4bb0-bc52-1387e9429f09</vt:lpwstr>
  </property>
</Properties>
</file>